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D4577" w14:textId="77777777" w:rsidR="001E6C10" w:rsidRDefault="001E6C10" w:rsidP="001E6C10">
      <w:pPr>
        <w:jc w:val="center"/>
        <w:rPr>
          <w:b/>
          <w:u w:val="single"/>
        </w:rPr>
      </w:pPr>
    </w:p>
    <w:p w14:paraId="115EE3F7" w14:textId="77777777" w:rsidR="001E6C10" w:rsidRDefault="001E6C10" w:rsidP="001E6C10">
      <w:pPr>
        <w:jc w:val="center"/>
        <w:rPr>
          <w:b/>
          <w:u w:val="single"/>
        </w:rPr>
      </w:pPr>
    </w:p>
    <w:p w14:paraId="005C266B" w14:textId="77777777" w:rsidR="001E6C10" w:rsidRDefault="001E6C10" w:rsidP="001E6C10">
      <w:pPr>
        <w:jc w:val="center"/>
        <w:rPr>
          <w:b/>
          <w:u w:val="single"/>
        </w:rPr>
      </w:pPr>
    </w:p>
    <w:p w14:paraId="6A3A8660" w14:textId="77777777" w:rsidR="007B6E01" w:rsidRPr="00F3012B" w:rsidRDefault="001E6C10" w:rsidP="001E6C10">
      <w:pPr>
        <w:jc w:val="center"/>
        <w:rPr>
          <w:b/>
          <w:sz w:val="28"/>
          <w:szCs w:val="28"/>
          <w:u w:val="single"/>
        </w:rPr>
      </w:pPr>
      <w:r w:rsidRPr="00F3012B">
        <w:rPr>
          <w:b/>
          <w:noProof/>
          <w:sz w:val="28"/>
          <w:szCs w:val="28"/>
          <w:u w:val="single"/>
        </w:rPr>
        <w:drawing>
          <wp:anchor distT="0" distB="0" distL="114300" distR="114300" simplePos="0" relativeHeight="251658240" behindDoc="0" locked="0" layoutInCell="1" allowOverlap="1" wp14:anchorId="5BE66123" wp14:editId="30297387">
            <wp:simplePos x="0" y="0"/>
            <wp:positionH relativeFrom="margin">
              <wp:posOffset>5295900</wp:posOffset>
            </wp:positionH>
            <wp:positionV relativeFrom="margin">
              <wp:posOffset>0</wp:posOffset>
            </wp:positionV>
            <wp:extent cx="981075" cy="9023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012B">
        <w:rPr>
          <w:b/>
          <w:noProof/>
          <w:sz w:val="28"/>
          <w:szCs w:val="28"/>
          <w:u w:val="single"/>
        </w:rPr>
        <w:drawing>
          <wp:anchor distT="0" distB="0" distL="114300" distR="114300" simplePos="0" relativeHeight="251659264" behindDoc="0" locked="0" layoutInCell="1" allowOverlap="1" wp14:anchorId="4141C687" wp14:editId="136A03A2">
            <wp:simplePos x="1143000" y="914400"/>
            <wp:positionH relativeFrom="margin">
              <wp:align>left</wp:align>
            </wp:positionH>
            <wp:positionV relativeFrom="margin">
              <wp:align>top</wp:align>
            </wp:positionV>
            <wp:extent cx="1724025" cy="897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477" cy="9050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12B" w:rsidRPr="00F3012B">
        <w:rPr>
          <w:b/>
          <w:sz w:val="28"/>
          <w:szCs w:val="28"/>
          <w:u w:val="single"/>
        </w:rPr>
        <w:t>C</w:t>
      </w:r>
      <w:r w:rsidRPr="00F3012B">
        <w:rPr>
          <w:b/>
          <w:sz w:val="28"/>
          <w:szCs w:val="28"/>
          <w:u w:val="single"/>
        </w:rPr>
        <w:t>HHS/Texas Ranger</w:t>
      </w:r>
      <w:r w:rsidR="00D571BD">
        <w:rPr>
          <w:b/>
          <w:sz w:val="28"/>
          <w:szCs w:val="28"/>
          <w:u w:val="single"/>
        </w:rPr>
        <w:t>s</w:t>
      </w:r>
      <w:r w:rsidRPr="00F3012B">
        <w:rPr>
          <w:b/>
          <w:sz w:val="28"/>
          <w:szCs w:val="28"/>
          <w:u w:val="single"/>
        </w:rPr>
        <w:t xml:space="preserve"> Ticket Fundraiser</w:t>
      </w:r>
    </w:p>
    <w:p w14:paraId="6241F0DC" w14:textId="77777777" w:rsidR="001E6C10" w:rsidRDefault="001E6C10" w:rsidP="001E6C10">
      <w:pPr>
        <w:jc w:val="center"/>
        <w:rPr>
          <w:b/>
          <w:u w:val="single"/>
        </w:rPr>
      </w:pPr>
    </w:p>
    <w:p w14:paraId="16C203F0" w14:textId="77777777" w:rsidR="001E6C10" w:rsidRDefault="001E6C10" w:rsidP="001E6C10">
      <w:pPr>
        <w:jc w:val="center"/>
        <w:rPr>
          <w:b/>
          <w:u w:val="single"/>
        </w:rPr>
      </w:pPr>
    </w:p>
    <w:p w14:paraId="2C1DC3C3" w14:textId="77777777" w:rsidR="009034B1" w:rsidRDefault="009034B1" w:rsidP="001E6C10">
      <w:pPr>
        <w:jc w:val="center"/>
        <w:rPr>
          <w:b/>
          <w:u w:val="single"/>
        </w:rPr>
      </w:pPr>
    </w:p>
    <w:p w14:paraId="0CEBE4D0" w14:textId="77777777" w:rsidR="001E6C10" w:rsidRDefault="00702331" w:rsidP="001E6C10">
      <w:pPr>
        <w:rPr>
          <w:noProof/>
        </w:rPr>
      </w:pPr>
      <w:r>
        <w:rPr>
          <w:noProof/>
        </w:rPr>
        <w:t>The</w:t>
      </w:r>
      <w:r w:rsidR="001E6C10">
        <w:rPr>
          <w:noProof/>
        </w:rPr>
        <w:t xml:space="preserve"> CHHS Baseball team </w:t>
      </w:r>
      <w:r>
        <w:rPr>
          <w:noProof/>
        </w:rPr>
        <w:t>is</w:t>
      </w:r>
      <w:r w:rsidR="001E6C10">
        <w:rPr>
          <w:noProof/>
        </w:rPr>
        <w:t xml:space="preserve"> partner</w:t>
      </w:r>
      <w:r>
        <w:rPr>
          <w:noProof/>
        </w:rPr>
        <w:t>ing</w:t>
      </w:r>
      <w:r w:rsidR="001E6C10">
        <w:rPr>
          <w:noProof/>
        </w:rPr>
        <w:t xml:space="preserve"> with the Texas Rangers for a fundraiser </w:t>
      </w:r>
      <w:r w:rsidR="00EC124E">
        <w:rPr>
          <w:noProof/>
        </w:rPr>
        <w:t>that will</w:t>
      </w:r>
      <w:r w:rsidR="001E6C10">
        <w:rPr>
          <w:noProof/>
        </w:rPr>
        <w:t xml:space="preserve"> allow the Seniors and Varsity team members an opportunity to play </w:t>
      </w:r>
      <w:r w:rsidR="009C7B9B">
        <w:rPr>
          <w:noProof/>
        </w:rPr>
        <w:t>a</w:t>
      </w:r>
      <w:r w:rsidR="00952164">
        <w:rPr>
          <w:noProof/>
        </w:rPr>
        <w:t xml:space="preserve">n innersquad scrimmage on </w:t>
      </w:r>
      <w:r w:rsidR="00541638">
        <w:rPr>
          <w:noProof/>
        </w:rPr>
        <w:t xml:space="preserve">April </w:t>
      </w:r>
      <w:r w:rsidR="00952164">
        <w:rPr>
          <w:noProof/>
        </w:rPr>
        <w:t>12</w:t>
      </w:r>
      <w:r w:rsidR="00541638" w:rsidRPr="00541638">
        <w:rPr>
          <w:noProof/>
          <w:vertAlign w:val="superscript"/>
        </w:rPr>
        <w:t>th</w:t>
      </w:r>
      <w:r w:rsidR="00541638">
        <w:rPr>
          <w:noProof/>
        </w:rPr>
        <w:t xml:space="preserve"> at</w:t>
      </w:r>
      <w:r w:rsidR="001E6C10">
        <w:rPr>
          <w:noProof/>
        </w:rPr>
        <w:t xml:space="preserve"> Globe Life </w:t>
      </w:r>
      <w:r w:rsidR="009C7B9B">
        <w:rPr>
          <w:noProof/>
        </w:rPr>
        <w:t>Field</w:t>
      </w:r>
      <w:r w:rsidR="001E6C10">
        <w:rPr>
          <w:noProof/>
        </w:rPr>
        <w:t xml:space="preserve"> while also raising money </w:t>
      </w:r>
      <w:r w:rsidR="00FF02A1">
        <w:rPr>
          <w:noProof/>
        </w:rPr>
        <w:t>benefitting</w:t>
      </w:r>
      <w:r w:rsidR="001E6C10">
        <w:rPr>
          <w:noProof/>
        </w:rPr>
        <w:t xml:space="preserve"> the baseball program.</w:t>
      </w:r>
    </w:p>
    <w:p w14:paraId="50B5B24A" w14:textId="77777777" w:rsidR="00FF02A1" w:rsidRDefault="00FF02A1" w:rsidP="001E6C10">
      <w:pPr>
        <w:rPr>
          <w:noProof/>
        </w:rPr>
      </w:pPr>
    </w:p>
    <w:p w14:paraId="65859999" w14:textId="77777777" w:rsidR="00FF02A1" w:rsidRDefault="00FF02A1" w:rsidP="001E6C10">
      <w:pPr>
        <w:rPr>
          <w:noProof/>
        </w:rPr>
      </w:pPr>
      <w:r>
        <w:rPr>
          <w:noProof/>
        </w:rPr>
        <w:t>Each</w:t>
      </w:r>
      <w:r w:rsidR="008D3A48">
        <w:rPr>
          <w:noProof/>
        </w:rPr>
        <w:t xml:space="preserve"> player will be asked to sell a minimum of</w:t>
      </w:r>
      <w:r>
        <w:rPr>
          <w:noProof/>
        </w:rPr>
        <w:t xml:space="preserve"> </w:t>
      </w:r>
      <w:r w:rsidR="00C90BD5" w:rsidRPr="00D571BD">
        <w:rPr>
          <w:noProof/>
        </w:rPr>
        <w:t>1</w:t>
      </w:r>
      <w:r w:rsidR="00B55375" w:rsidRPr="00D571BD">
        <w:rPr>
          <w:noProof/>
        </w:rPr>
        <w:t>6</w:t>
      </w:r>
      <w:r>
        <w:rPr>
          <w:noProof/>
        </w:rPr>
        <w:t xml:space="preserve"> tickets.  </w:t>
      </w:r>
      <w:r w:rsidRPr="00D571BD">
        <w:rPr>
          <w:noProof/>
        </w:rPr>
        <w:t xml:space="preserve">For non-Senior/non-Varsity players that sell their full allotment of tickets, they will be invited to </w:t>
      </w:r>
      <w:r w:rsidR="00D571BD">
        <w:rPr>
          <w:noProof/>
        </w:rPr>
        <w:t xml:space="preserve">participate by </w:t>
      </w:r>
      <w:r w:rsidRPr="00D571BD">
        <w:rPr>
          <w:noProof/>
        </w:rPr>
        <w:t>watch</w:t>
      </w:r>
      <w:r w:rsidR="00D571BD">
        <w:rPr>
          <w:noProof/>
        </w:rPr>
        <w:t>ing</w:t>
      </w:r>
      <w:r w:rsidRPr="00D571BD">
        <w:rPr>
          <w:noProof/>
        </w:rPr>
        <w:t xml:space="preserve"> the game from the dugout.</w:t>
      </w:r>
    </w:p>
    <w:p w14:paraId="51625ED1" w14:textId="77777777" w:rsidR="001E6C10" w:rsidRDefault="001E6C10" w:rsidP="001E6C10">
      <w:pPr>
        <w:rPr>
          <w:noProof/>
        </w:rPr>
      </w:pPr>
    </w:p>
    <w:p w14:paraId="45DC68C5" w14:textId="77777777" w:rsidR="00FF02A1" w:rsidRPr="00FF02A1" w:rsidRDefault="00FF02A1" w:rsidP="008A0742">
      <w:pPr>
        <w:rPr>
          <w:b/>
          <w:u w:val="single"/>
        </w:rPr>
      </w:pPr>
      <w:r w:rsidRPr="00FF02A1">
        <w:rPr>
          <w:b/>
          <w:u w:val="single"/>
        </w:rPr>
        <w:t>Selling Options</w:t>
      </w:r>
    </w:p>
    <w:p w14:paraId="33AC162C" w14:textId="77777777" w:rsidR="001E6C10" w:rsidRPr="009034B1" w:rsidRDefault="008A0742" w:rsidP="00873274">
      <w:pPr>
        <w:pStyle w:val="ListParagraph"/>
        <w:numPr>
          <w:ilvl w:val="0"/>
          <w:numId w:val="2"/>
        </w:numPr>
        <w:rPr>
          <w:sz w:val="22"/>
          <w:szCs w:val="22"/>
        </w:rPr>
      </w:pPr>
      <w:r w:rsidRPr="009034B1">
        <w:rPr>
          <w:b/>
          <w:sz w:val="22"/>
          <w:szCs w:val="22"/>
        </w:rPr>
        <w:t>Option 1:  Ticket Buy-Out/Donation</w:t>
      </w:r>
      <w:r w:rsidRPr="009034B1">
        <w:rPr>
          <w:sz w:val="22"/>
          <w:szCs w:val="22"/>
        </w:rPr>
        <w:t xml:space="preserve"> </w:t>
      </w:r>
      <w:r w:rsidR="00EC124E" w:rsidRPr="009034B1">
        <w:rPr>
          <w:sz w:val="22"/>
          <w:szCs w:val="22"/>
        </w:rPr>
        <w:t>(</w:t>
      </w:r>
      <w:r w:rsidR="008D3A48" w:rsidRPr="008D3A48">
        <w:rPr>
          <w:sz w:val="22"/>
          <w:szCs w:val="22"/>
        </w:rPr>
        <w:t>$240</w:t>
      </w:r>
      <w:r w:rsidRPr="009034B1">
        <w:rPr>
          <w:sz w:val="22"/>
          <w:szCs w:val="22"/>
        </w:rPr>
        <w:t xml:space="preserve"> with a donation of th</w:t>
      </w:r>
      <w:r w:rsidR="00A32E45">
        <w:rPr>
          <w:sz w:val="22"/>
          <w:szCs w:val="22"/>
        </w:rPr>
        <w:t xml:space="preserve">e tickets to a local organization to be decided later.  </w:t>
      </w:r>
      <w:r w:rsidR="00D571BD">
        <w:rPr>
          <w:sz w:val="22"/>
          <w:szCs w:val="22"/>
        </w:rPr>
        <w:t xml:space="preserve">In 2019, </w:t>
      </w:r>
      <w:r w:rsidR="00A32E45">
        <w:rPr>
          <w:sz w:val="22"/>
          <w:szCs w:val="22"/>
        </w:rPr>
        <w:t>we donated almost 300 tickets to GCISD Special Olympics!!!</w:t>
      </w:r>
      <w:r w:rsidR="00B55375">
        <w:rPr>
          <w:sz w:val="22"/>
          <w:szCs w:val="22"/>
        </w:rPr>
        <w:t>)</w:t>
      </w:r>
    </w:p>
    <w:p w14:paraId="6BDB7032" w14:textId="77777777" w:rsidR="008A0742" w:rsidRPr="009034B1" w:rsidRDefault="008A0742" w:rsidP="00FF02A1">
      <w:pPr>
        <w:pStyle w:val="ListParagraph"/>
        <w:numPr>
          <w:ilvl w:val="0"/>
          <w:numId w:val="2"/>
        </w:numPr>
        <w:rPr>
          <w:b/>
          <w:sz w:val="22"/>
          <w:szCs w:val="22"/>
        </w:rPr>
      </w:pPr>
      <w:r w:rsidRPr="009034B1">
        <w:rPr>
          <w:b/>
          <w:sz w:val="22"/>
          <w:szCs w:val="22"/>
        </w:rPr>
        <w:t>Option 2:  Ticket Buy-Out/</w:t>
      </w:r>
      <w:r w:rsidR="00EC124E" w:rsidRPr="009034B1">
        <w:rPr>
          <w:b/>
          <w:sz w:val="22"/>
          <w:szCs w:val="22"/>
        </w:rPr>
        <w:t xml:space="preserve">Non-Donation </w:t>
      </w:r>
      <w:r w:rsidR="00EC124E" w:rsidRPr="009034B1">
        <w:rPr>
          <w:sz w:val="22"/>
          <w:szCs w:val="22"/>
        </w:rPr>
        <w:t>(</w:t>
      </w:r>
      <w:r w:rsidR="008D3A48">
        <w:rPr>
          <w:sz w:val="22"/>
          <w:szCs w:val="22"/>
        </w:rPr>
        <w:t>$240</w:t>
      </w:r>
      <w:r w:rsidR="00A32E45">
        <w:rPr>
          <w:sz w:val="22"/>
          <w:szCs w:val="22"/>
        </w:rPr>
        <w:t xml:space="preserve"> with ability to control what you do with the tickets</w:t>
      </w:r>
      <w:r w:rsidR="00B55375">
        <w:rPr>
          <w:sz w:val="22"/>
          <w:szCs w:val="22"/>
        </w:rPr>
        <w:t>)</w:t>
      </w:r>
    </w:p>
    <w:p w14:paraId="5C6C22AD" w14:textId="77777777" w:rsidR="00A32E45" w:rsidRDefault="008A0742" w:rsidP="00FF02A1">
      <w:pPr>
        <w:pStyle w:val="ListParagraph"/>
        <w:numPr>
          <w:ilvl w:val="0"/>
          <w:numId w:val="2"/>
        </w:numPr>
        <w:rPr>
          <w:b/>
          <w:sz w:val="22"/>
          <w:szCs w:val="22"/>
        </w:rPr>
      </w:pPr>
      <w:r w:rsidRPr="009034B1">
        <w:rPr>
          <w:b/>
          <w:sz w:val="22"/>
          <w:szCs w:val="22"/>
        </w:rPr>
        <w:t xml:space="preserve">Option </w:t>
      </w:r>
      <w:r w:rsidR="00A32E45">
        <w:rPr>
          <w:b/>
          <w:sz w:val="22"/>
          <w:szCs w:val="22"/>
        </w:rPr>
        <w:t>3</w:t>
      </w:r>
      <w:r w:rsidRPr="009034B1">
        <w:rPr>
          <w:b/>
          <w:sz w:val="22"/>
          <w:szCs w:val="22"/>
        </w:rPr>
        <w:t xml:space="preserve">:  </w:t>
      </w:r>
      <w:r w:rsidR="00A32E45">
        <w:rPr>
          <w:b/>
          <w:sz w:val="22"/>
          <w:szCs w:val="22"/>
        </w:rPr>
        <w:t xml:space="preserve">Buy-Out/Sell Combo </w:t>
      </w:r>
      <w:r w:rsidR="00A32E45">
        <w:rPr>
          <w:sz w:val="22"/>
          <w:szCs w:val="22"/>
        </w:rPr>
        <w:t>(</w:t>
      </w:r>
      <w:r w:rsidR="00D571BD">
        <w:rPr>
          <w:sz w:val="22"/>
          <w:szCs w:val="22"/>
        </w:rPr>
        <w:t>Multiply # needed to get to 16 x $15 to calculate buy-out $ required)</w:t>
      </w:r>
    </w:p>
    <w:p w14:paraId="3B7B3212" w14:textId="77777777" w:rsidR="00A32E45" w:rsidRPr="00A32E45" w:rsidRDefault="00A32E45" w:rsidP="00A32E45">
      <w:pPr>
        <w:pStyle w:val="ListParagraph"/>
        <w:numPr>
          <w:ilvl w:val="0"/>
          <w:numId w:val="2"/>
        </w:numPr>
        <w:rPr>
          <w:b/>
          <w:sz w:val="22"/>
          <w:szCs w:val="22"/>
        </w:rPr>
      </w:pPr>
      <w:r>
        <w:rPr>
          <w:b/>
          <w:sz w:val="22"/>
          <w:szCs w:val="22"/>
        </w:rPr>
        <w:t xml:space="preserve">Option 4:  </w:t>
      </w:r>
      <w:r w:rsidR="008A0742" w:rsidRPr="009034B1">
        <w:rPr>
          <w:b/>
          <w:sz w:val="22"/>
          <w:szCs w:val="22"/>
        </w:rPr>
        <w:t>Sell as you go</w:t>
      </w:r>
      <w:r w:rsidR="00EC124E" w:rsidRPr="009034B1">
        <w:rPr>
          <w:b/>
          <w:sz w:val="22"/>
          <w:szCs w:val="22"/>
        </w:rPr>
        <w:t xml:space="preserve"> </w:t>
      </w:r>
    </w:p>
    <w:p w14:paraId="003CB39C" w14:textId="77777777" w:rsidR="00FF02A1" w:rsidRDefault="00FF02A1" w:rsidP="008A0742"/>
    <w:p w14:paraId="33C31DB2" w14:textId="77777777" w:rsidR="00FF02A1" w:rsidRPr="00D571BD" w:rsidRDefault="00FF02A1" w:rsidP="008A0742">
      <w:pPr>
        <w:rPr>
          <w:b/>
          <w:u w:val="single"/>
        </w:rPr>
      </w:pPr>
      <w:r w:rsidRPr="00FF02A1">
        <w:rPr>
          <w:b/>
          <w:u w:val="single"/>
        </w:rPr>
        <w:t>P</w:t>
      </w:r>
      <w:r w:rsidRPr="00D571BD">
        <w:rPr>
          <w:b/>
          <w:u w:val="single"/>
        </w:rPr>
        <w:t>ayment Options</w:t>
      </w:r>
    </w:p>
    <w:p w14:paraId="5F570E14" w14:textId="77777777" w:rsidR="003C663F" w:rsidRPr="00D571BD" w:rsidRDefault="003C663F" w:rsidP="003C663F">
      <w:pPr>
        <w:pStyle w:val="ListParagraph"/>
        <w:numPr>
          <w:ilvl w:val="0"/>
          <w:numId w:val="4"/>
        </w:numPr>
        <w:rPr>
          <w:sz w:val="22"/>
          <w:szCs w:val="22"/>
        </w:rPr>
      </w:pPr>
      <w:r w:rsidRPr="00D571BD">
        <w:rPr>
          <w:sz w:val="22"/>
          <w:szCs w:val="22"/>
        </w:rPr>
        <w:t>Cash</w:t>
      </w:r>
    </w:p>
    <w:p w14:paraId="29C40A61" w14:textId="77777777" w:rsidR="003C663F" w:rsidRPr="00D571BD" w:rsidRDefault="003C663F" w:rsidP="003C663F">
      <w:pPr>
        <w:pStyle w:val="ListParagraph"/>
        <w:numPr>
          <w:ilvl w:val="0"/>
          <w:numId w:val="4"/>
        </w:numPr>
        <w:rPr>
          <w:sz w:val="22"/>
          <w:szCs w:val="22"/>
        </w:rPr>
      </w:pPr>
      <w:r w:rsidRPr="00D571BD">
        <w:rPr>
          <w:sz w:val="22"/>
          <w:szCs w:val="22"/>
        </w:rPr>
        <w:t>Check (ma</w:t>
      </w:r>
      <w:r w:rsidR="001554B3" w:rsidRPr="00D571BD">
        <w:rPr>
          <w:sz w:val="22"/>
          <w:szCs w:val="22"/>
        </w:rPr>
        <w:t>k</w:t>
      </w:r>
      <w:r w:rsidRPr="00D571BD">
        <w:rPr>
          <w:sz w:val="22"/>
          <w:szCs w:val="22"/>
        </w:rPr>
        <w:t>e</w:t>
      </w:r>
      <w:r w:rsidR="001554B3" w:rsidRPr="00D571BD">
        <w:rPr>
          <w:sz w:val="22"/>
          <w:szCs w:val="22"/>
        </w:rPr>
        <w:t xml:space="preserve"> payable</w:t>
      </w:r>
      <w:r w:rsidRPr="00D571BD">
        <w:rPr>
          <w:sz w:val="22"/>
          <w:szCs w:val="22"/>
        </w:rPr>
        <w:t xml:space="preserve"> to “Texas Rangers Baseball”)</w:t>
      </w:r>
    </w:p>
    <w:p w14:paraId="60CF0167" w14:textId="77777777" w:rsidR="003C663F" w:rsidRPr="00D571BD" w:rsidRDefault="003C663F" w:rsidP="003C663F">
      <w:pPr>
        <w:pStyle w:val="ListParagraph"/>
        <w:numPr>
          <w:ilvl w:val="0"/>
          <w:numId w:val="4"/>
        </w:numPr>
        <w:rPr>
          <w:sz w:val="22"/>
          <w:szCs w:val="22"/>
        </w:rPr>
      </w:pPr>
      <w:r w:rsidRPr="00D571BD">
        <w:rPr>
          <w:sz w:val="22"/>
          <w:szCs w:val="22"/>
        </w:rPr>
        <w:t>Credit Card (Visa, MasterCard</w:t>
      </w:r>
      <w:r w:rsidR="002C2C02" w:rsidRPr="00D571BD">
        <w:rPr>
          <w:sz w:val="22"/>
          <w:szCs w:val="22"/>
        </w:rPr>
        <w:t>,</w:t>
      </w:r>
      <w:r w:rsidRPr="00D571BD">
        <w:rPr>
          <w:sz w:val="22"/>
          <w:szCs w:val="22"/>
        </w:rPr>
        <w:t xml:space="preserve"> American Express</w:t>
      </w:r>
      <w:r w:rsidR="002C2C02" w:rsidRPr="00D571BD">
        <w:rPr>
          <w:sz w:val="22"/>
          <w:szCs w:val="22"/>
        </w:rPr>
        <w:t xml:space="preserve"> or Discover</w:t>
      </w:r>
      <w:r w:rsidRPr="00D571BD">
        <w:rPr>
          <w:sz w:val="22"/>
          <w:szCs w:val="22"/>
        </w:rPr>
        <w:t>)</w:t>
      </w:r>
    </w:p>
    <w:p w14:paraId="0075C847" w14:textId="77777777" w:rsidR="00A32E45" w:rsidRPr="00D571BD" w:rsidRDefault="00A32E45" w:rsidP="003C663F">
      <w:pPr>
        <w:pStyle w:val="ListParagraph"/>
        <w:numPr>
          <w:ilvl w:val="0"/>
          <w:numId w:val="4"/>
        </w:numPr>
        <w:rPr>
          <w:sz w:val="22"/>
          <w:szCs w:val="22"/>
        </w:rPr>
      </w:pPr>
      <w:r w:rsidRPr="00D571BD">
        <w:rPr>
          <w:sz w:val="22"/>
          <w:szCs w:val="22"/>
        </w:rPr>
        <w:t>ONLINE ordering</w:t>
      </w:r>
      <w:r w:rsidR="00D571BD" w:rsidRPr="00D571BD">
        <w:rPr>
          <w:sz w:val="22"/>
          <w:szCs w:val="22"/>
        </w:rPr>
        <w:t xml:space="preserve"> </w:t>
      </w:r>
      <w:r w:rsidR="00D571BD">
        <w:rPr>
          <w:sz w:val="22"/>
          <w:szCs w:val="22"/>
        </w:rPr>
        <w:t xml:space="preserve">link:  **Only available for April games currently ** </w:t>
      </w:r>
      <w:hyperlink r:id="rId7" w:history="1">
        <w:r w:rsidR="00D571BD" w:rsidRPr="00D571BD">
          <w:rPr>
            <w:rStyle w:val="Hyperlink"/>
          </w:rPr>
          <w:t>https://offer.fevo.com/texas-high-school-baseball-747b47b?fevoUri=texas-high-school-baseball-747b47b%2F</w:t>
        </w:r>
      </w:hyperlink>
    </w:p>
    <w:p w14:paraId="419108EF" w14:textId="77777777" w:rsidR="00FF02A1" w:rsidRDefault="00FF02A1" w:rsidP="008A0742"/>
    <w:p w14:paraId="74109B0E" w14:textId="77777777" w:rsidR="003C663F" w:rsidRDefault="003C663F" w:rsidP="008A0742">
      <w:pPr>
        <w:rPr>
          <w:b/>
          <w:u w:val="single"/>
        </w:rPr>
      </w:pPr>
      <w:r>
        <w:rPr>
          <w:b/>
          <w:u w:val="single"/>
        </w:rPr>
        <w:t>Questions from purchasers</w:t>
      </w:r>
    </w:p>
    <w:p w14:paraId="3C195269" w14:textId="77777777" w:rsidR="00EC124E" w:rsidRDefault="00EC124E" w:rsidP="00EC124E">
      <w:pPr>
        <w:pStyle w:val="ListParagraph"/>
        <w:numPr>
          <w:ilvl w:val="0"/>
          <w:numId w:val="5"/>
        </w:numPr>
        <w:rPr>
          <w:sz w:val="22"/>
          <w:szCs w:val="22"/>
        </w:rPr>
      </w:pPr>
      <w:r w:rsidRPr="009034B1">
        <w:rPr>
          <w:sz w:val="22"/>
          <w:szCs w:val="22"/>
        </w:rPr>
        <w:t xml:space="preserve">How are tickets delivered?  </w:t>
      </w:r>
      <w:r w:rsidR="00D571BD">
        <w:rPr>
          <w:sz w:val="22"/>
          <w:szCs w:val="22"/>
        </w:rPr>
        <w:t>E</w:t>
      </w:r>
      <w:r w:rsidR="00896BC8">
        <w:rPr>
          <w:sz w:val="22"/>
          <w:szCs w:val="22"/>
        </w:rPr>
        <w:t xml:space="preserve">lectronically through the </w:t>
      </w:r>
      <w:r w:rsidR="00142541">
        <w:rPr>
          <w:sz w:val="22"/>
          <w:szCs w:val="22"/>
        </w:rPr>
        <w:t>MLB Ballpark</w:t>
      </w:r>
      <w:r w:rsidR="00896BC8">
        <w:rPr>
          <w:sz w:val="22"/>
          <w:szCs w:val="22"/>
        </w:rPr>
        <w:t xml:space="preserve"> app</w:t>
      </w:r>
    </w:p>
    <w:p w14:paraId="327B5665" w14:textId="77777777" w:rsidR="00020F04" w:rsidRDefault="00952164" w:rsidP="00EC124E">
      <w:pPr>
        <w:pStyle w:val="ListParagraph"/>
        <w:numPr>
          <w:ilvl w:val="0"/>
          <w:numId w:val="5"/>
        </w:numPr>
        <w:rPr>
          <w:sz w:val="22"/>
          <w:szCs w:val="22"/>
        </w:rPr>
      </w:pPr>
      <w:r>
        <w:rPr>
          <w:sz w:val="22"/>
          <w:szCs w:val="22"/>
        </w:rPr>
        <w:t xml:space="preserve">COVID – </w:t>
      </w:r>
      <w:r w:rsidR="00020F04">
        <w:rPr>
          <w:sz w:val="22"/>
          <w:szCs w:val="22"/>
        </w:rPr>
        <w:t>We expect there could be some limited capacity for tickets, especially during the first few months.  Any ticket requests that cannot be fulfilled will be handled directly by Texas Rangers contact with the ticket purchaser.</w:t>
      </w:r>
    </w:p>
    <w:p w14:paraId="40AE28C6" w14:textId="77777777" w:rsidR="00952164" w:rsidRPr="009034B1" w:rsidRDefault="00020F04" w:rsidP="00EC124E">
      <w:pPr>
        <w:pStyle w:val="ListParagraph"/>
        <w:numPr>
          <w:ilvl w:val="0"/>
          <w:numId w:val="5"/>
        </w:numPr>
        <w:rPr>
          <w:sz w:val="22"/>
          <w:szCs w:val="22"/>
        </w:rPr>
      </w:pPr>
      <w:r>
        <w:rPr>
          <w:sz w:val="22"/>
          <w:szCs w:val="22"/>
        </w:rPr>
        <w:t>If ticket requests cannot be filled due to extenuating circumstances, any refunds or special arrangements will be at the discretion and timing of the Texas Rangers.  (The CHHS Booster Club does not have the authority to refund ticket requests)</w:t>
      </w:r>
    </w:p>
    <w:p w14:paraId="745F03BA" w14:textId="77777777" w:rsidR="00EC124E" w:rsidRDefault="00EC124E" w:rsidP="008A0742">
      <w:pPr>
        <w:rPr>
          <w:b/>
          <w:u w:val="single"/>
        </w:rPr>
      </w:pPr>
    </w:p>
    <w:p w14:paraId="7C1EE191" w14:textId="77777777" w:rsidR="00FF02A1" w:rsidRDefault="00113B16" w:rsidP="008A0742">
      <w:pPr>
        <w:rPr>
          <w:b/>
          <w:u w:val="single"/>
        </w:rPr>
      </w:pPr>
      <w:r>
        <w:rPr>
          <w:b/>
          <w:u w:val="single"/>
        </w:rPr>
        <w:t>Details</w:t>
      </w:r>
    </w:p>
    <w:p w14:paraId="47C06033" w14:textId="77777777" w:rsidR="003C663F" w:rsidRPr="009034B1" w:rsidRDefault="00B55375" w:rsidP="003C663F">
      <w:pPr>
        <w:pStyle w:val="ListParagraph"/>
        <w:numPr>
          <w:ilvl w:val="0"/>
          <w:numId w:val="3"/>
        </w:numPr>
        <w:rPr>
          <w:sz w:val="22"/>
          <w:szCs w:val="22"/>
        </w:rPr>
      </w:pPr>
      <w:r>
        <w:rPr>
          <w:sz w:val="22"/>
          <w:szCs w:val="22"/>
        </w:rPr>
        <w:t xml:space="preserve">Due Date:  </w:t>
      </w:r>
      <w:r w:rsidR="00D571BD">
        <w:rPr>
          <w:sz w:val="22"/>
          <w:szCs w:val="22"/>
        </w:rPr>
        <w:t>April 1st</w:t>
      </w:r>
    </w:p>
    <w:p w14:paraId="3A376D5A" w14:textId="77777777" w:rsidR="003C663F" w:rsidRPr="009034B1" w:rsidRDefault="003C663F" w:rsidP="003C663F">
      <w:pPr>
        <w:pStyle w:val="ListParagraph"/>
        <w:numPr>
          <w:ilvl w:val="0"/>
          <w:numId w:val="3"/>
        </w:numPr>
        <w:rPr>
          <w:sz w:val="22"/>
          <w:szCs w:val="22"/>
        </w:rPr>
      </w:pPr>
      <w:r w:rsidRPr="009034B1">
        <w:rPr>
          <w:sz w:val="22"/>
          <w:szCs w:val="22"/>
        </w:rPr>
        <w:t>Exclusion</w:t>
      </w:r>
      <w:r w:rsidR="00716F1D" w:rsidRPr="009034B1">
        <w:rPr>
          <w:sz w:val="22"/>
          <w:szCs w:val="22"/>
        </w:rPr>
        <w:t>:</w:t>
      </w:r>
      <w:r w:rsidR="00325159" w:rsidRPr="009034B1">
        <w:rPr>
          <w:sz w:val="22"/>
          <w:szCs w:val="22"/>
        </w:rPr>
        <w:t xml:space="preserve">  </w:t>
      </w:r>
      <w:r w:rsidRPr="009034B1">
        <w:rPr>
          <w:sz w:val="22"/>
          <w:szCs w:val="22"/>
        </w:rPr>
        <w:t>Opening Day</w:t>
      </w:r>
    </w:p>
    <w:p w14:paraId="7B6AF3F4" w14:textId="77777777" w:rsidR="003C663F" w:rsidRPr="009034B1" w:rsidRDefault="00126BB8" w:rsidP="003C663F">
      <w:pPr>
        <w:pStyle w:val="ListParagraph"/>
        <w:numPr>
          <w:ilvl w:val="0"/>
          <w:numId w:val="3"/>
        </w:numPr>
        <w:rPr>
          <w:sz w:val="22"/>
          <w:szCs w:val="22"/>
        </w:rPr>
      </w:pPr>
      <w:r>
        <w:rPr>
          <w:sz w:val="22"/>
          <w:szCs w:val="22"/>
        </w:rPr>
        <w:t>Deadline</w:t>
      </w:r>
      <w:r w:rsidR="00527F8E" w:rsidRPr="009034B1">
        <w:rPr>
          <w:sz w:val="22"/>
          <w:szCs w:val="22"/>
        </w:rPr>
        <w:t xml:space="preserve">:  </w:t>
      </w:r>
      <w:r>
        <w:rPr>
          <w:sz w:val="22"/>
          <w:szCs w:val="22"/>
        </w:rPr>
        <w:t>Due to</w:t>
      </w:r>
      <w:r w:rsidR="00CA4492" w:rsidRPr="009034B1">
        <w:rPr>
          <w:sz w:val="22"/>
          <w:szCs w:val="22"/>
        </w:rPr>
        <w:t xml:space="preserve"> your designated p</w:t>
      </w:r>
      <w:r w:rsidR="00527F8E" w:rsidRPr="009034B1">
        <w:rPr>
          <w:sz w:val="22"/>
          <w:szCs w:val="22"/>
        </w:rPr>
        <w:t xml:space="preserve">arent </w:t>
      </w:r>
      <w:r w:rsidR="00CA4492" w:rsidRPr="009034B1">
        <w:rPr>
          <w:sz w:val="22"/>
          <w:szCs w:val="22"/>
        </w:rPr>
        <w:t>r</w:t>
      </w:r>
      <w:r w:rsidR="00527F8E" w:rsidRPr="009034B1">
        <w:rPr>
          <w:sz w:val="22"/>
          <w:szCs w:val="22"/>
        </w:rPr>
        <w:t xml:space="preserve">ep </w:t>
      </w:r>
      <w:r w:rsidR="00B55375" w:rsidRPr="00126BB8">
        <w:rPr>
          <w:b/>
          <w:sz w:val="22"/>
          <w:szCs w:val="22"/>
        </w:rPr>
        <w:t>no later</w:t>
      </w:r>
      <w:r w:rsidR="00B55375">
        <w:rPr>
          <w:sz w:val="22"/>
          <w:szCs w:val="22"/>
        </w:rPr>
        <w:t xml:space="preserve"> than </w:t>
      </w:r>
      <w:r w:rsidR="00D571BD">
        <w:rPr>
          <w:sz w:val="22"/>
          <w:szCs w:val="22"/>
        </w:rPr>
        <w:t>4/1</w:t>
      </w:r>
    </w:p>
    <w:p w14:paraId="511DC4CF" w14:textId="77777777" w:rsidR="00527F8E" w:rsidRPr="009034B1" w:rsidRDefault="00527F8E" w:rsidP="003C663F">
      <w:pPr>
        <w:pStyle w:val="ListParagraph"/>
        <w:numPr>
          <w:ilvl w:val="0"/>
          <w:numId w:val="3"/>
        </w:numPr>
        <w:rPr>
          <w:sz w:val="22"/>
          <w:szCs w:val="22"/>
        </w:rPr>
      </w:pPr>
      <w:r w:rsidRPr="009034B1">
        <w:rPr>
          <w:sz w:val="22"/>
          <w:szCs w:val="22"/>
        </w:rPr>
        <w:t>Special requests for section number/1</w:t>
      </w:r>
      <w:r w:rsidRPr="009034B1">
        <w:rPr>
          <w:sz w:val="22"/>
          <w:szCs w:val="22"/>
          <w:vertAlign w:val="superscript"/>
        </w:rPr>
        <w:t>st</w:t>
      </w:r>
      <w:r w:rsidRPr="009034B1">
        <w:rPr>
          <w:sz w:val="22"/>
          <w:szCs w:val="22"/>
        </w:rPr>
        <w:t>/3</w:t>
      </w:r>
      <w:r w:rsidRPr="009034B1">
        <w:rPr>
          <w:sz w:val="22"/>
          <w:szCs w:val="22"/>
          <w:vertAlign w:val="superscript"/>
        </w:rPr>
        <w:t>rd</w:t>
      </w:r>
      <w:r w:rsidRPr="009034B1">
        <w:rPr>
          <w:sz w:val="22"/>
          <w:szCs w:val="22"/>
        </w:rPr>
        <w:t xml:space="preserve"> base side can be included on order form</w:t>
      </w:r>
      <w:r w:rsidR="00325159" w:rsidRPr="009034B1">
        <w:rPr>
          <w:sz w:val="22"/>
          <w:szCs w:val="22"/>
        </w:rPr>
        <w:t xml:space="preserve"> but is</w:t>
      </w:r>
      <w:r w:rsidRPr="009034B1">
        <w:rPr>
          <w:sz w:val="22"/>
          <w:szCs w:val="22"/>
        </w:rPr>
        <w:t xml:space="preserve"> not guaranteed</w:t>
      </w:r>
    </w:p>
    <w:p w14:paraId="7E142C10" w14:textId="77777777" w:rsidR="00716F1D" w:rsidRPr="009034B1" w:rsidRDefault="00527F8E" w:rsidP="003C663F">
      <w:pPr>
        <w:pStyle w:val="ListParagraph"/>
        <w:numPr>
          <w:ilvl w:val="0"/>
          <w:numId w:val="3"/>
        </w:numPr>
        <w:rPr>
          <w:sz w:val="22"/>
          <w:szCs w:val="22"/>
        </w:rPr>
      </w:pPr>
      <w:r w:rsidRPr="009034B1">
        <w:rPr>
          <w:sz w:val="22"/>
          <w:szCs w:val="22"/>
        </w:rPr>
        <w:t xml:space="preserve">Ticket sales after </w:t>
      </w:r>
      <w:r w:rsidR="00D571BD">
        <w:rPr>
          <w:sz w:val="22"/>
          <w:szCs w:val="22"/>
        </w:rPr>
        <w:t>April 1st</w:t>
      </w:r>
      <w:r w:rsidRPr="009034B1">
        <w:rPr>
          <w:sz w:val="22"/>
          <w:szCs w:val="22"/>
        </w:rPr>
        <w:t xml:space="preserve"> will </w:t>
      </w:r>
      <w:r w:rsidR="00716F1D" w:rsidRPr="009034B1">
        <w:rPr>
          <w:sz w:val="22"/>
          <w:szCs w:val="22"/>
        </w:rPr>
        <w:t>still be accept</w:t>
      </w:r>
      <w:r w:rsidR="00325159" w:rsidRPr="009034B1">
        <w:rPr>
          <w:sz w:val="22"/>
          <w:szCs w:val="22"/>
        </w:rPr>
        <w:t>ed</w:t>
      </w:r>
      <w:r w:rsidR="00716F1D" w:rsidRPr="009034B1">
        <w:rPr>
          <w:sz w:val="22"/>
          <w:szCs w:val="22"/>
        </w:rPr>
        <w:t xml:space="preserve"> and credited toward next year</w:t>
      </w:r>
    </w:p>
    <w:p w14:paraId="66EB4D1C" w14:textId="77777777" w:rsidR="00325159" w:rsidRPr="009034B1" w:rsidRDefault="00716F1D" w:rsidP="00325159">
      <w:pPr>
        <w:pStyle w:val="ListParagraph"/>
        <w:numPr>
          <w:ilvl w:val="0"/>
          <w:numId w:val="3"/>
        </w:numPr>
        <w:rPr>
          <w:sz w:val="22"/>
          <w:szCs w:val="22"/>
        </w:rPr>
      </w:pPr>
      <w:r w:rsidRPr="009034B1">
        <w:rPr>
          <w:sz w:val="22"/>
          <w:szCs w:val="22"/>
        </w:rPr>
        <w:t>T</w:t>
      </w:r>
      <w:r w:rsidR="00527F8E" w:rsidRPr="009034B1">
        <w:rPr>
          <w:sz w:val="22"/>
          <w:szCs w:val="22"/>
        </w:rPr>
        <w:t>icket pric</w:t>
      </w:r>
      <w:r w:rsidR="00325159" w:rsidRPr="009034B1">
        <w:rPr>
          <w:sz w:val="22"/>
          <w:szCs w:val="22"/>
        </w:rPr>
        <w:t>ing structure:  “</w:t>
      </w:r>
      <w:r w:rsidR="009C7B9B">
        <w:rPr>
          <w:sz w:val="22"/>
          <w:szCs w:val="22"/>
        </w:rPr>
        <w:t xml:space="preserve">Rookie”, </w:t>
      </w:r>
      <w:r w:rsidR="00325159" w:rsidRPr="009034B1">
        <w:rPr>
          <w:sz w:val="22"/>
          <w:szCs w:val="22"/>
        </w:rPr>
        <w:t xml:space="preserve">All Star” or “Hall of Fame” </w:t>
      </w:r>
      <w:r w:rsidR="004D59A1" w:rsidRPr="009034B1">
        <w:rPr>
          <w:sz w:val="22"/>
          <w:szCs w:val="22"/>
        </w:rPr>
        <w:t xml:space="preserve">game designation shown </w:t>
      </w:r>
      <w:r w:rsidR="00325159" w:rsidRPr="009034B1">
        <w:rPr>
          <w:sz w:val="22"/>
          <w:szCs w:val="22"/>
        </w:rPr>
        <w:t xml:space="preserve">on </w:t>
      </w:r>
      <w:r w:rsidR="00296692" w:rsidRPr="009034B1">
        <w:rPr>
          <w:sz w:val="22"/>
          <w:szCs w:val="22"/>
        </w:rPr>
        <w:t xml:space="preserve">the </w:t>
      </w:r>
      <w:r w:rsidR="00325159" w:rsidRPr="009034B1">
        <w:rPr>
          <w:sz w:val="22"/>
          <w:szCs w:val="22"/>
        </w:rPr>
        <w:t>order form</w:t>
      </w:r>
    </w:p>
    <w:p w14:paraId="6BFA0934" w14:textId="77777777" w:rsidR="00325159" w:rsidRDefault="00325159" w:rsidP="00325159"/>
    <w:tbl>
      <w:tblPr>
        <w:tblStyle w:val="TableGrid"/>
        <w:tblW w:w="0" w:type="auto"/>
        <w:tblInd w:w="2160" w:type="dxa"/>
        <w:tblLook w:val="04A0" w:firstRow="1" w:lastRow="0" w:firstColumn="1" w:lastColumn="0" w:noHBand="0" w:noVBand="1"/>
      </w:tblPr>
      <w:tblGrid>
        <w:gridCol w:w="2515"/>
        <w:gridCol w:w="1080"/>
        <w:gridCol w:w="1260"/>
        <w:gridCol w:w="1620"/>
      </w:tblGrid>
      <w:tr w:rsidR="009C7B9B" w14:paraId="65C879D6" w14:textId="77777777" w:rsidTr="00554DCE">
        <w:trPr>
          <w:trHeight w:val="287"/>
        </w:trPr>
        <w:tc>
          <w:tcPr>
            <w:tcW w:w="2515" w:type="dxa"/>
            <w:shd w:val="clear" w:color="auto" w:fill="D9D9D9" w:themeFill="background1" w:themeFillShade="D9"/>
          </w:tcPr>
          <w:p w14:paraId="72400E84" w14:textId="77777777" w:rsidR="009C7B9B" w:rsidRPr="004D59A1" w:rsidRDefault="00952164" w:rsidP="004D59A1">
            <w:pPr>
              <w:pStyle w:val="ListParagraph"/>
              <w:tabs>
                <w:tab w:val="right" w:pos="2299"/>
              </w:tabs>
              <w:ind w:left="0"/>
              <w:rPr>
                <w:b/>
                <w:color w:val="000000" w:themeColor="text1"/>
              </w:rPr>
            </w:pPr>
            <w:r>
              <w:rPr>
                <w:b/>
                <w:color w:val="000000" w:themeColor="text1"/>
              </w:rPr>
              <w:t>2021</w:t>
            </w:r>
            <w:r w:rsidR="009C7B9B">
              <w:rPr>
                <w:b/>
                <w:color w:val="000000" w:themeColor="text1"/>
              </w:rPr>
              <w:t xml:space="preserve"> </w:t>
            </w:r>
            <w:r w:rsidR="009C7B9B" w:rsidRPr="004D59A1">
              <w:rPr>
                <w:b/>
                <w:color w:val="000000" w:themeColor="text1"/>
              </w:rPr>
              <w:t>Seating Area</w:t>
            </w:r>
            <w:r w:rsidR="009C7B9B" w:rsidRPr="004D59A1">
              <w:rPr>
                <w:b/>
                <w:color w:val="000000" w:themeColor="text1"/>
              </w:rPr>
              <w:tab/>
            </w:r>
          </w:p>
        </w:tc>
        <w:tc>
          <w:tcPr>
            <w:tcW w:w="1080" w:type="dxa"/>
            <w:shd w:val="clear" w:color="auto" w:fill="D9D9D9" w:themeFill="background1" w:themeFillShade="D9"/>
          </w:tcPr>
          <w:p w14:paraId="1E79DD42" w14:textId="77777777" w:rsidR="009C7B9B" w:rsidRPr="004D59A1" w:rsidRDefault="00554DCE" w:rsidP="00325159">
            <w:pPr>
              <w:pStyle w:val="ListParagraph"/>
              <w:ind w:left="0"/>
              <w:rPr>
                <w:b/>
                <w:color w:val="000000" w:themeColor="text1"/>
              </w:rPr>
            </w:pPr>
            <w:r>
              <w:rPr>
                <w:b/>
                <w:color w:val="000000" w:themeColor="text1"/>
              </w:rPr>
              <w:t>Rookie</w:t>
            </w:r>
          </w:p>
        </w:tc>
        <w:tc>
          <w:tcPr>
            <w:tcW w:w="1260" w:type="dxa"/>
            <w:shd w:val="clear" w:color="auto" w:fill="D9D9D9" w:themeFill="background1" w:themeFillShade="D9"/>
          </w:tcPr>
          <w:p w14:paraId="4429F7D4" w14:textId="77777777" w:rsidR="009C7B9B" w:rsidRPr="004D59A1" w:rsidRDefault="00554DCE" w:rsidP="00325159">
            <w:pPr>
              <w:pStyle w:val="ListParagraph"/>
              <w:ind w:left="0"/>
              <w:rPr>
                <w:b/>
                <w:color w:val="000000" w:themeColor="text1"/>
              </w:rPr>
            </w:pPr>
            <w:r>
              <w:rPr>
                <w:b/>
                <w:color w:val="000000" w:themeColor="text1"/>
              </w:rPr>
              <w:t>All-Star</w:t>
            </w:r>
          </w:p>
        </w:tc>
        <w:tc>
          <w:tcPr>
            <w:tcW w:w="1620" w:type="dxa"/>
            <w:shd w:val="clear" w:color="auto" w:fill="D9D9D9" w:themeFill="background1" w:themeFillShade="D9"/>
          </w:tcPr>
          <w:p w14:paraId="19156B77" w14:textId="77777777" w:rsidR="009C7B9B" w:rsidRPr="004D59A1" w:rsidRDefault="00554DCE" w:rsidP="009C7B9B">
            <w:pPr>
              <w:pStyle w:val="ListParagraph"/>
              <w:ind w:left="0"/>
              <w:rPr>
                <w:b/>
                <w:color w:val="000000" w:themeColor="text1"/>
              </w:rPr>
            </w:pPr>
            <w:r>
              <w:rPr>
                <w:b/>
                <w:color w:val="000000" w:themeColor="text1"/>
              </w:rPr>
              <w:t>Hall of Fame</w:t>
            </w:r>
          </w:p>
        </w:tc>
      </w:tr>
      <w:tr w:rsidR="009C7B9B" w14:paraId="26BE2302" w14:textId="77777777" w:rsidTr="00554DCE">
        <w:tc>
          <w:tcPr>
            <w:tcW w:w="2515" w:type="dxa"/>
          </w:tcPr>
          <w:p w14:paraId="56F6FD21" w14:textId="77777777" w:rsidR="009C7B9B" w:rsidRPr="009034B1" w:rsidRDefault="009C7B9B" w:rsidP="00325159">
            <w:pPr>
              <w:pStyle w:val="ListParagraph"/>
              <w:ind w:left="0"/>
              <w:rPr>
                <w:sz w:val="22"/>
                <w:szCs w:val="22"/>
              </w:rPr>
            </w:pPr>
            <w:r>
              <w:rPr>
                <w:sz w:val="22"/>
                <w:szCs w:val="22"/>
              </w:rPr>
              <w:t>Infield Mezzanine</w:t>
            </w:r>
          </w:p>
        </w:tc>
        <w:tc>
          <w:tcPr>
            <w:tcW w:w="1080" w:type="dxa"/>
          </w:tcPr>
          <w:p w14:paraId="5C59B487" w14:textId="77777777" w:rsidR="009C7B9B" w:rsidRPr="009034B1" w:rsidRDefault="00554DCE" w:rsidP="00325159">
            <w:pPr>
              <w:pStyle w:val="ListParagraph"/>
              <w:ind w:left="0"/>
              <w:rPr>
                <w:sz w:val="22"/>
                <w:szCs w:val="22"/>
              </w:rPr>
            </w:pPr>
            <w:r>
              <w:rPr>
                <w:sz w:val="22"/>
                <w:szCs w:val="22"/>
              </w:rPr>
              <w:t>$50</w:t>
            </w:r>
          </w:p>
        </w:tc>
        <w:tc>
          <w:tcPr>
            <w:tcW w:w="1260" w:type="dxa"/>
          </w:tcPr>
          <w:p w14:paraId="786F7B34" w14:textId="77777777" w:rsidR="009C7B9B" w:rsidRPr="009034B1" w:rsidRDefault="00554DCE" w:rsidP="00325159">
            <w:pPr>
              <w:pStyle w:val="ListParagraph"/>
              <w:ind w:left="0"/>
              <w:rPr>
                <w:sz w:val="22"/>
                <w:szCs w:val="22"/>
              </w:rPr>
            </w:pPr>
            <w:r>
              <w:rPr>
                <w:sz w:val="22"/>
                <w:szCs w:val="22"/>
              </w:rPr>
              <w:t>$75</w:t>
            </w:r>
          </w:p>
        </w:tc>
        <w:tc>
          <w:tcPr>
            <w:tcW w:w="1620" w:type="dxa"/>
          </w:tcPr>
          <w:p w14:paraId="67D663C3" w14:textId="77777777" w:rsidR="009C7B9B" w:rsidRPr="009034B1" w:rsidRDefault="00554DCE" w:rsidP="00325159">
            <w:pPr>
              <w:pStyle w:val="ListParagraph"/>
              <w:ind w:left="0"/>
              <w:rPr>
                <w:sz w:val="22"/>
                <w:szCs w:val="22"/>
              </w:rPr>
            </w:pPr>
            <w:r>
              <w:rPr>
                <w:sz w:val="22"/>
                <w:szCs w:val="22"/>
              </w:rPr>
              <w:t>$85</w:t>
            </w:r>
          </w:p>
        </w:tc>
      </w:tr>
      <w:tr w:rsidR="009C7B9B" w14:paraId="23AF0978" w14:textId="77777777" w:rsidTr="00554DCE">
        <w:tc>
          <w:tcPr>
            <w:tcW w:w="2515" w:type="dxa"/>
            <w:shd w:val="clear" w:color="auto" w:fill="D9D9D9" w:themeFill="background1" w:themeFillShade="D9"/>
          </w:tcPr>
          <w:p w14:paraId="6751BE2B" w14:textId="77777777" w:rsidR="009C7B9B" w:rsidRPr="009034B1" w:rsidRDefault="009C7B9B" w:rsidP="00325159">
            <w:pPr>
              <w:pStyle w:val="ListParagraph"/>
              <w:ind w:left="0"/>
              <w:rPr>
                <w:sz w:val="22"/>
                <w:szCs w:val="22"/>
              </w:rPr>
            </w:pPr>
            <w:r>
              <w:rPr>
                <w:sz w:val="22"/>
                <w:szCs w:val="22"/>
              </w:rPr>
              <w:t>All You Can Eat</w:t>
            </w:r>
          </w:p>
        </w:tc>
        <w:tc>
          <w:tcPr>
            <w:tcW w:w="1080" w:type="dxa"/>
            <w:shd w:val="clear" w:color="auto" w:fill="D9D9D9" w:themeFill="background1" w:themeFillShade="D9"/>
          </w:tcPr>
          <w:p w14:paraId="45F96B89" w14:textId="77777777" w:rsidR="009C7B9B" w:rsidRPr="009034B1" w:rsidRDefault="00554DCE" w:rsidP="00325159">
            <w:pPr>
              <w:pStyle w:val="ListParagraph"/>
              <w:ind w:left="0"/>
              <w:rPr>
                <w:sz w:val="22"/>
                <w:szCs w:val="22"/>
              </w:rPr>
            </w:pPr>
            <w:r>
              <w:rPr>
                <w:sz w:val="22"/>
                <w:szCs w:val="22"/>
              </w:rPr>
              <w:t>$45</w:t>
            </w:r>
          </w:p>
        </w:tc>
        <w:tc>
          <w:tcPr>
            <w:tcW w:w="1260" w:type="dxa"/>
            <w:shd w:val="clear" w:color="auto" w:fill="D9D9D9" w:themeFill="background1" w:themeFillShade="D9"/>
          </w:tcPr>
          <w:p w14:paraId="0C9F4089" w14:textId="77777777" w:rsidR="009C7B9B" w:rsidRPr="009034B1" w:rsidRDefault="00554DCE" w:rsidP="00325159">
            <w:pPr>
              <w:pStyle w:val="ListParagraph"/>
              <w:ind w:left="0"/>
              <w:rPr>
                <w:sz w:val="22"/>
                <w:szCs w:val="22"/>
              </w:rPr>
            </w:pPr>
            <w:r>
              <w:rPr>
                <w:sz w:val="22"/>
                <w:szCs w:val="22"/>
              </w:rPr>
              <w:t>$65</w:t>
            </w:r>
          </w:p>
        </w:tc>
        <w:tc>
          <w:tcPr>
            <w:tcW w:w="1620" w:type="dxa"/>
            <w:shd w:val="clear" w:color="auto" w:fill="D9D9D9" w:themeFill="background1" w:themeFillShade="D9"/>
          </w:tcPr>
          <w:p w14:paraId="547B9279" w14:textId="77777777" w:rsidR="009C7B9B" w:rsidRPr="009034B1" w:rsidRDefault="00554DCE" w:rsidP="00325159">
            <w:pPr>
              <w:pStyle w:val="ListParagraph"/>
              <w:ind w:left="0"/>
              <w:rPr>
                <w:sz w:val="22"/>
                <w:szCs w:val="22"/>
              </w:rPr>
            </w:pPr>
            <w:r>
              <w:rPr>
                <w:sz w:val="22"/>
                <w:szCs w:val="22"/>
              </w:rPr>
              <w:t>$65</w:t>
            </w:r>
          </w:p>
        </w:tc>
      </w:tr>
      <w:tr w:rsidR="009C7B9B" w14:paraId="06E3D127" w14:textId="77777777" w:rsidTr="00554DCE">
        <w:tc>
          <w:tcPr>
            <w:tcW w:w="2515" w:type="dxa"/>
          </w:tcPr>
          <w:p w14:paraId="0D0B0E73" w14:textId="77777777" w:rsidR="009C7B9B" w:rsidRPr="009034B1" w:rsidRDefault="009C7B9B" w:rsidP="00325159">
            <w:pPr>
              <w:pStyle w:val="ListParagraph"/>
              <w:ind w:left="0"/>
              <w:rPr>
                <w:sz w:val="22"/>
                <w:szCs w:val="22"/>
              </w:rPr>
            </w:pPr>
            <w:r>
              <w:rPr>
                <w:sz w:val="22"/>
                <w:szCs w:val="22"/>
              </w:rPr>
              <w:t>Corner Mezzanine</w:t>
            </w:r>
          </w:p>
        </w:tc>
        <w:tc>
          <w:tcPr>
            <w:tcW w:w="1080" w:type="dxa"/>
          </w:tcPr>
          <w:p w14:paraId="7C35FAAF" w14:textId="77777777" w:rsidR="009C7B9B" w:rsidRPr="009034B1" w:rsidRDefault="00554DCE" w:rsidP="00325159">
            <w:pPr>
              <w:pStyle w:val="ListParagraph"/>
              <w:ind w:left="0"/>
              <w:rPr>
                <w:sz w:val="22"/>
                <w:szCs w:val="22"/>
              </w:rPr>
            </w:pPr>
            <w:r>
              <w:rPr>
                <w:sz w:val="22"/>
                <w:szCs w:val="22"/>
              </w:rPr>
              <w:t>$35</w:t>
            </w:r>
          </w:p>
        </w:tc>
        <w:tc>
          <w:tcPr>
            <w:tcW w:w="1260" w:type="dxa"/>
          </w:tcPr>
          <w:p w14:paraId="3DDF1285" w14:textId="77777777" w:rsidR="009C7B9B" w:rsidRPr="009034B1" w:rsidRDefault="00554DCE" w:rsidP="00325159">
            <w:pPr>
              <w:pStyle w:val="ListParagraph"/>
              <w:ind w:left="0"/>
              <w:rPr>
                <w:sz w:val="22"/>
                <w:szCs w:val="22"/>
              </w:rPr>
            </w:pPr>
            <w:r>
              <w:rPr>
                <w:sz w:val="22"/>
                <w:szCs w:val="22"/>
              </w:rPr>
              <w:t>$45</w:t>
            </w:r>
          </w:p>
        </w:tc>
        <w:tc>
          <w:tcPr>
            <w:tcW w:w="1620" w:type="dxa"/>
          </w:tcPr>
          <w:p w14:paraId="31D65767" w14:textId="77777777" w:rsidR="009C7B9B" w:rsidRPr="009034B1" w:rsidRDefault="00554DCE" w:rsidP="00325159">
            <w:pPr>
              <w:pStyle w:val="ListParagraph"/>
              <w:ind w:left="0"/>
              <w:rPr>
                <w:sz w:val="22"/>
                <w:szCs w:val="22"/>
              </w:rPr>
            </w:pPr>
            <w:r>
              <w:rPr>
                <w:sz w:val="22"/>
                <w:szCs w:val="22"/>
              </w:rPr>
              <w:t>$55</w:t>
            </w:r>
          </w:p>
        </w:tc>
      </w:tr>
      <w:tr w:rsidR="009C7B9B" w14:paraId="3F82ECE5" w14:textId="77777777" w:rsidTr="00554DCE">
        <w:tc>
          <w:tcPr>
            <w:tcW w:w="2515" w:type="dxa"/>
            <w:shd w:val="clear" w:color="auto" w:fill="D9D9D9" w:themeFill="background1" w:themeFillShade="D9"/>
          </w:tcPr>
          <w:p w14:paraId="6CDB8AA0" w14:textId="77777777" w:rsidR="009C7B9B" w:rsidRPr="009034B1" w:rsidRDefault="00952164" w:rsidP="00325159">
            <w:pPr>
              <w:pStyle w:val="ListParagraph"/>
              <w:ind w:left="0"/>
              <w:rPr>
                <w:sz w:val="22"/>
                <w:szCs w:val="22"/>
              </w:rPr>
            </w:pPr>
            <w:r>
              <w:rPr>
                <w:sz w:val="22"/>
                <w:szCs w:val="22"/>
              </w:rPr>
              <w:t>Outfield Mezzanine</w:t>
            </w:r>
          </w:p>
        </w:tc>
        <w:tc>
          <w:tcPr>
            <w:tcW w:w="1080" w:type="dxa"/>
            <w:shd w:val="clear" w:color="auto" w:fill="D9D9D9" w:themeFill="background1" w:themeFillShade="D9"/>
          </w:tcPr>
          <w:p w14:paraId="3D620493" w14:textId="77777777" w:rsidR="009C7B9B" w:rsidRPr="009034B1" w:rsidRDefault="00952164" w:rsidP="00325159">
            <w:pPr>
              <w:pStyle w:val="ListParagraph"/>
              <w:ind w:left="0"/>
              <w:rPr>
                <w:sz w:val="22"/>
                <w:szCs w:val="22"/>
              </w:rPr>
            </w:pPr>
            <w:r>
              <w:rPr>
                <w:sz w:val="22"/>
                <w:szCs w:val="22"/>
              </w:rPr>
              <w:t>$25</w:t>
            </w:r>
          </w:p>
        </w:tc>
        <w:tc>
          <w:tcPr>
            <w:tcW w:w="1260" w:type="dxa"/>
            <w:shd w:val="clear" w:color="auto" w:fill="D9D9D9" w:themeFill="background1" w:themeFillShade="D9"/>
          </w:tcPr>
          <w:p w14:paraId="74565D55" w14:textId="77777777" w:rsidR="009C7B9B" w:rsidRPr="009034B1" w:rsidRDefault="00952164" w:rsidP="00325159">
            <w:pPr>
              <w:pStyle w:val="ListParagraph"/>
              <w:ind w:left="0"/>
              <w:rPr>
                <w:sz w:val="22"/>
                <w:szCs w:val="22"/>
              </w:rPr>
            </w:pPr>
            <w:r>
              <w:rPr>
                <w:sz w:val="22"/>
                <w:szCs w:val="22"/>
              </w:rPr>
              <w:t>$35</w:t>
            </w:r>
          </w:p>
        </w:tc>
        <w:tc>
          <w:tcPr>
            <w:tcW w:w="1620" w:type="dxa"/>
            <w:shd w:val="clear" w:color="auto" w:fill="D9D9D9" w:themeFill="background1" w:themeFillShade="D9"/>
          </w:tcPr>
          <w:p w14:paraId="30476F3B" w14:textId="77777777" w:rsidR="009C7B9B" w:rsidRPr="009034B1" w:rsidRDefault="00554DCE" w:rsidP="00325159">
            <w:pPr>
              <w:pStyle w:val="ListParagraph"/>
              <w:ind w:left="0"/>
              <w:rPr>
                <w:sz w:val="22"/>
                <w:szCs w:val="22"/>
              </w:rPr>
            </w:pPr>
            <w:r>
              <w:rPr>
                <w:sz w:val="22"/>
                <w:szCs w:val="22"/>
              </w:rPr>
              <w:t>$4</w:t>
            </w:r>
            <w:r w:rsidR="00952164">
              <w:rPr>
                <w:sz w:val="22"/>
                <w:szCs w:val="22"/>
              </w:rPr>
              <w:t>0</w:t>
            </w:r>
          </w:p>
        </w:tc>
      </w:tr>
      <w:tr w:rsidR="009C7B9B" w14:paraId="51BCC700" w14:textId="77777777" w:rsidTr="00554DCE">
        <w:tc>
          <w:tcPr>
            <w:tcW w:w="2515" w:type="dxa"/>
          </w:tcPr>
          <w:p w14:paraId="1CC6EB74" w14:textId="77777777" w:rsidR="009C7B9B" w:rsidRPr="009034B1" w:rsidRDefault="009C7B9B" w:rsidP="00325159">
            <w:pPr>
              <w:pStyle w:val="ListParagraph"/>
              <w:ind w:left="0"/>
              <w:rPr>
                <w:sz w:val="22"/>
                <w:szCs w:val="22"/>
              </w:rPr>
            </w:pPr>
            <w:r>
              <w:rPr>
                <w:sz w:val="22"/>
                <w:szCs w:val="22"/>
              </w:rPr>
              <w:t>Upper Reserved</w:t>
            </w:r>
          </w:p>
        </w:tc>
        <w:tc>
          <w:tcPr>
            <w:tcW w:w="1080" w:type="dxa"/>
          </w:tcPr>
          <w:p w14:paraId="164387F3" w14:textId="77777777" w:rsidR="009C7B9B" w:rsidRPr="009034B1" w:rsidRDefault="00554DCE" w:rsidP="00325159">
            <w:pPr>
              <w:pStyle w:val="ListParagraph"/>
              <w:ind w:left="0"/>
              <w:rPr>
                <w:sz w:val="22"/>
                <w:szCs w:val="22"/>
              </w:rPr>
            </w:pPr>
            <w:r>
              <w:rPr>
                <w:sz w:val="22"/>
                <w:szCs w:val="22"/>
              </w:rPr>
              <w:t>$15</w:t>
            </w:r>
          </w:p>
        </w:tc>
        <w:tc>
          <w:tcPr>
            <w:tcW w:w="1260" w:type="dxa"/>
          </w:tcPr>
          <w:p w14:paraId="37C341B4" w14:textId="77777777" w:rsidR="009C7B9B" w:rsidRPr="009034B1" w:rsidRDefault="00554DCE" w:rsidP="00325159">
            <w:pPr>
              <w:pStyle w:val="ListParagraph"/>
              <w:ind w:left="0"/>
              <w:rPr>
                <w:sz w:val="22"/>
                <w:szCs w:val="22"/>
              </w:rPr>
            </w:pPr>
            <w:r>
              <w:rPr>
                <w:sz w:val="22"/>
                <w:szCs w:val="22"/>
              </w:rPr>
              <w:t>$20</w:t>
            </w:r>
          </w:p>
        </w:tc>
        <w:tc>
          <w:tcPr>
            <w:tcW w:w="1620" w:type="dxa"/>
          </w:tcPr>
          <w:p w14:paraId="58BC7AB8" w14:textId="77777777" w:rsidR="009C7B9B" w:rsidRPr="009034B1" w:rsidRDefault="00554DCE" w:rsidP="00325159">
            <w:pPr>
              <w:pStyle w:val="ListParagraph"/>
              <w:ind w:left="0"/>
              <w:rPr>
                <w:sz w:val="22"/>
                <w:szCs w:val="22"/>
              </w:rPr>
            </w:pPr>
            <w:r>
              <w:rPr>
                <w:sz w:val="22"/>
                <w:szCs w:val="22"/>
              </w:rPr>
              <w:t>$25</w:t>
            </w:r>
          </w:p>
        </w:tc>
      </w:tr>
    </w:tbl>
    <w:p w14:paraId="522B22E4" w14:textId="77777777" w:rsidR="00FF02A1" w:rsidRPr="001E6C10" w:rsidRDefault="00FF02A1" w:rsidP="004D59A1"/>
    <w:sectPr w:rsidR="00FF02A1" w:rsidRPr="001E6C10" w:rsidSect="001E6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97AF6"/>
    <w:multiLevelType w:val="hybridMultilevel"/>
    <w:tmpl w:val="BEE8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13B"/>
    <w:multiLevelType w:val="hybridMultilevel"/>
    <w:tmpl w:val="4718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3225E"/>
    <w:multiLevelType w:val="hybridMultilevel"/>
    <w:tmpl w:val="67AE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6222D"/>
    <w:multiLevelType w:val="hybridMultilevel"/>
    <w:tmpl w:val="A856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056BA"/>
    <w:multiLevelType w:val="hybridMultilevel"/>
    <w:tmpl w:val="B7A02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0"/>
    <w:rsid w:val="00020F04"/>
    <w:rsid w:val="000D7DC9"/>
    <w:rsid w:val="00113B16"/>
    <w:rsid w:val="00126BB8"/>
    <w:rsid w:val="00142541"/>
    <w:rsid w:val="001554B3"/>
    <w:rsid w:val="001E6C10"/>
    <w:rsid w:val="00296692"/>
    <w:rsid w:val="002C2C02"/>
    <w:rsid w:val="00325159"/>
    <w:rsid w:val="003347B6"/>
    <w:rsid w:val="003C663F"/>
    <w:rsid w:val="004D59A1"/>
    <w:rsid w:val="00527F8E"/>
    <w:rsid w:val="00541638"/>
    <w:rsid w:val="00554DCE"/>
    <w:rsid w:val="00702331"/>
    <w:rsid w:val="007050A2"/>
    <w:rsid w:val="00716F1D"/>
    <w:rsid w:val="007807A1"/>
    <w:rsid w:val="007B6E01"/>
    <w:rsid w:val="007F685D"/>
    <w:rsid w:val="00873274"/>
    <w:rsid w:val="00896BC8"/>
    <w:rsid w:val="008A0742"/>
    <w:rsid w:val="008D3A48"/>
    <w:rsid w:val="009034B1"/>
    <w:rsid w:val="00952164"/>
    <w:rsid w:val="009C7B9B"/>
    <w:rsid w:val="00A32E45"/>
    <w:rsid w:val="00B55375"/>
    <w:rsid w:val="00C90BD5"/>
    <w:rsid w:val="00CA4492"/>
    <w:rsid w:val="00D571BD"/>
    <w:rsid w:val="00EC124E"/>
    <w:rsid w:val="00F3012B"/>
    <w:rsid w:val="00FF0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FCD3A"/>
  <w15:chartTrackingRefBased/>
  <w15:docId w15:val="{7A348A07-C210-49E2-AB1A-F6EEEAEF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10"/>
    <w:pPr>
      <w:ind w:left="720"/>
      <w:contextualSpacing/>
    </w:pPr>
  </w:style>
  <w:style w:type="table" w:styleId="TableGrid">
    <w:name w:val="Table Grid"/>
    <w:basedOn w:val="TableNormal"/>
    <w:uiPriority w:val="39"/>
    <w:rsid w:val="0032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571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s-3A__offer.fevo.com_texas-2Dhigh-2Dschool-2Dbaseball-2D747b47b-3FfevoUri-3Dtexas-2Dhigh-2Dschool-2Dbaseball-2D747b47b-252F&amp;d=DwMFaQ&amp;c=SFszdw3oxIkTvaP4xmzq_apLU3uL-3SxdAPNkldf__Q&amp;r=PsWyJ6Sth1l9B8aULwT-l3a0iZLm9rOwQ6ILqxU2rkA&amp;m=3z140A4fFTRYo6qMLcRvjep0EvJKrm65MVcPFXdA9xc&amp;s=OTIqt6Ow-UokUddR2hQLMoiNCh903E8XVfNd6y1WT84&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 Allison</dc:creator>
  <cp:keywords/>
  <dc:description/>
  <cp:lastModifiedBy>Allison</cp:lastModifiedBy>
  <cp:revision>2</cp:revision>
  <dcterms:created xsi:type="dcterms:W3CDTF">2021-03-08T22:55:00Z</dcterms:created>
  <dcterms:modified xsi:type="dcterms:W3CDTF">2021-03-08T22:55:00Z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8f89abd8-370a-4796-90ba-8179200663c6</vt:lpwstr>
  </property>
  <property fmtid="{D5CDD505-2E9C-101B-9397-08002B2CF9AE}" pid="3" name="Classification">
    <vt:lpwstr>Unclassified</vt:lpwstr>
  </property>
  <property fmtid="{D5CDD505-2E9C-101B-9397-08002B2CF9AE}" pid="4" name="_AdHocReviewCycleID">
    <vt:i4>-1927283629</vt:i4>
  </property>
  <property fmtid="{D5CDD505-2E9C-101B-9397-08002B2CF9AE}" pid="5" name="_NewReviewCycle">
    <vt:lpwstr/>
  </property>
  <property fmtid="{D5CDD505-2E9C-101B-9397-08002B2CF9AE}" pid="6" name="_EmailSubject">
    <vt:lpwstr>TX Ranger Fundraiser</vt:lpwstr>
  </property>
  <property fmtid="{D5CDD505-2E9C-101B-9397-08002B2CF9AE}" pid="7" name="_AuthorEmail">
    <vt:lpwstr>allison.zimmer@bofa.com</vt:lpwstr>
  </property>
  <property fmtid="{D5CDD505-2E9C-101B-9397-08002B2CF9AE}" pid="8" name="_AuthorEmailDisplayName">
    <vt:lpwstr>Zimmer, Allison</vt:lpwstr>
  </property>
  <property fmtid="{D5CDD505-2E9C-101B-9397-08002B2CF9AE}" pid="9" name="_ReviewingToolsShownOnce">
    <vt:lpwstr/>
  </property>
</Properties>
</file>